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7E" w:rsidRPr="00C7207E" w:rsidRDefault="00C7207E" w:rsidP="00C7207E">
      <w:pPr>
        <w:widowControl w:val="0"/>
        <w:autoSpaceDE w:val="0"/>
        <w:autoSpaceDN w:val="0"/>
        <w:adjustRightInd w:val="0"/>
        <w:spacing w:after="320"/>
        <w:jc w:val="center"/>
        <w:rPr>
          <w:rFonts w:ascii="Times" w:hAnsi="Times" w:cs="Times"/>
          <w:sz w:val="48"/>
          <w:szCs w:val="48"/>
        </w:rPr>
      </w:pPr>
      <w:r w:rsidRPr="00C7207E">
        <w:rPr>
          <w:rFonts w:ascii="Arial" w:hAnsi="Arial" w:cs="Arial"/>
          <w:b/>
          <w:bCs/>
          <w:sz w:val="48"/>
          <w:szCs w:val="48"/>
        </w:rPr>
        <w:t xml:space="preserve">Willingness </w:t>
      </w:r>
      <w:r w:rsidR="008179FA" w:rsidRPr="00C7207E">
        <w:rPr>
          <w:rFonts w:ascii="Arial" w:hAnsi="Arial" w:cs="Arial"/>
          <w:b/>
          <w:bCs/>
          <w:sz w:val="48"/>
          <w:szCs w:val="48"/>
        </w:rPr>
        <w:t>to</w:t>
      </w:r>
      <w:r w:rsidRPr="00C7207E">
        <w:rPr>
          <w:rFonts w:ascii="Arial" w:hAnsi="Arial" w:cs="Arial"/>
          <w:b/>
          <w:bCs/>
          <w:sz w:val="48"/>
          <w:szCs w:val="48"/>
        </w:rPr>
        <w:t xml:space="preserve"> Communicate (WTC)</w:t>
      </w:r>
    </w:p>
    <w:p w:rsidR="00C7207E" w:rsidRPr="00C7207E" w:rsidRDefault="00C7207E" w:rsidP="00C7207E">
      <w:pPr>
        <w:widowControl w:val="0"/>
        <w:autoSpaceDE w:val="0"/>
        <w:autoSpaceDN w:val="0"/>
        <w:adjustRightInd w:val="0"/>
        <w:spacing w:after="320"/>
        <w:rPr>
          <w:rFonts w:ascii="Times" w:hAnsi="Times" w:cs="Times"/>
        </w:rPr>
      </w:pPr>
      <w:r w:rsidRPr="00C7207E">
        <w:rPr>
          <w:rFonts w:ascii="Arial" w:hAnsi="Arial" w:cs="Arial"/>
          <w:bCs/>
        </w:rPr>
        <w:t xml:space="preserve">Willingness to communicate is the most basic orientation toward communication. Almost anyone is likely to respond to a direct question, but many will not continue or initiate interaction. This instrument measures a person's willingness to </w:t>
      </w:r>
      <w:r w:rsidRPr="00C7207E">
        <w:rPr>
          <w:rFonts w:ascii="Arial" w:hAnsi="Arial" w:cs="Arial"/>
          <w:bCs/>
          <w:i/>
          <w:iCs/>
        </w:rPr>
        <w:t>initiate</w:t>
      </w:r>
      <w:r w:rsidRPr="00C7207E">
        <w:rPr>
          <w:rFonts w:ascii="Arial" w:hAnsi="Arial" w:cs="Arial"/>
          <w:bCs/>
        </w:rPr>
        <w:t xml:space="preserve"> communication. The face validity of the instrument is strong, and results of extensive research indicate the predictive validity of the instrument. Alpha reliability estimates for this instrument have ranged from .85 to well above .90.</w:t>
      </w:r>
      <w:r w:rsidRPr="00C7207E">
        <w:rPr>
          <w:rFonts w:ascii="Arial" w:hAnsi="Arial" w:cs="Arial"/>
        </w:rPr>
        <w:t xml:space="preserve"> </w:t>
      </w:r>
      <w:r w:rsidRPr="00C7207E">
        <w:rPr>
          <w:rFonts w:ascii="Arial" w:hAnsi="Arial" w:cs="Arial"/>
          <w:bCs/>
        </w:rPr>
        <w:t>Of the 20 items on the instrument, 8 are used to distract attention from the scored items. The twelve remain items generate a total score, 4 context-type scores, and 3 receiver-type scores.</w:t>
      </w:r>
      <w:r w:rsidRPr="00C7207E">
        <w:rPr>
          <w:rFonts w:ascii="Arial" w:hAnsi="Arial" w:cs="Arial"/>
        </w:rPr>
        <w:t xml:space="preserve"> </w:t>
      </w:r>
      <w:r w:rsidRPr="00C7207E">
        <w:rPr>
          <w:rFonts w:ascii="Arial" w:hAnsi="Arial" w:cs="Arial"/>
          <w:bCs/>
        </w:rPr>
        <w:t>The sub-scores generate lower reliability estimates, but generally high enough to be used in research studies.</w:t>
      </w:r>
    </w:p>
    <w:p w:rsidR="00C7207E" w:rsidRPr="00C7207E" w:rsidRDefault="00C7207E" w:rsidP="00C7207E">
      <w:pPr>
        <w:widowControl w:val="0"/>
        <w:autoSpaceDE w:val="0"/>
        <w:autoSpaceDN w:val="0"/>
        <w:adjustRightInd w:val="0"/>
        <w:spacing w:after="320"/>
        <w:rPr>
          <w:rFonts w:ascii="Times" w:hAnsi="Times" w:cs="Times"/>
        </w:rPr>
      </w:pPr>
      <w:r w:rsidRPr="00C7207E">
        <w:rPr>
          <w:rFonts w:ascii="Arial" w:hAnsi="Arial" w:cs="Arial"/>
          <w:b/>
          <w:bCs/>
        </w:rPr>
        <w:t>Directions:</w:t>
      </w:r>
      <w:r w:rsidRPr="00C7207E">
        <w:rPr>
          <w:rFonts w:ascii="Arial" w:hAnsi="Arial" w:cs="Arial"/>
        </w:rPr>
        <w:t xml:space="preserve"> Below are 20 situations in which a person might choose to communicate or not to communicate. Presume you have completely free choice. Indicate the percentage of times you would choose to communicate in each type of situation. Indicate in the space at the left of the item what percent of the time you would choose to communicate. (0 = Never to 100 = Always) </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_____1. Talk wi</w:t>
      </w:r>
      <w:r w:rsidR="008179FA">
        <w:rPr>
          <w:rFonts w:ascii="Arial" w:hAnsi="Arial" w:cs="Arial"/>
        </w:rPr>
        <w:t>th a service station attendant.</w:t>
      </w:r>
    </w:p>
    <w:p w:rsidR="00C7207E" w:rsidRDefault="008179FA" w:rsidP="00C7207E">
      <w:pPr>
        <w:widowControl w:val="0"/>
        <w:autoSpaceDE w:val="0"/>
        <w:autoSpaceDN w:val="0"/>
        <w:adjustRightInd w:val="0"/>
        <w:rPr>
          <w:rFonts w:ascii="Arial" w:hAnsi="Arial" w:cs="Arial"/>
        </w:rPr>
      </w:pPr>
      <w:r>
        <w:rPr>
          <w:rFonts w:ascii="Arial" w:hAnsi="Arial" w:cs="Arial"/>
        </w:rPr>
        <w:t>_____2. Talk with a physician.</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_____3. Present a talk to a group of strangers.</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_____4. Talk with an acquaintance while standing in line.</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_____5. Talk with a salesperson in a store.</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_____6. Talk in a large meeting of friends.</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w:t>
      </w:r>
      <w:r w:rsidR="008179FA">
        <w:rPr>
          <w:rFonts w:ascii="Arial" w:hAnsi="Arial" w:cs="Arial"/>
        </w:rPr>
        <w:t>_7. Talk with a police officer.</w:t>
      </w:r>
    </w:p>
    <w:p w:rsidR="00C7207E" w:rsidRDefault="00C7207E" w:rsidP="00C7207E">
      <w:pPr>
        <w:widowControl w:val="0"/>
        <w:autoSpaceDE w:val="0"/>
        <w:autoSpaceDN w:val="0"/>
        <w:adjustRightInd w:val="0"/>
        <w:rPr>
          <w:rFonts w:ascii="Arial" w:hAnsi="Arial" w:cs="Arial"/>
        </w:rPr>
      </w:pPr>
      <w:r w:rsidRPr="00C7207E">
        <w:rPr>
          <w:rFonts w:ascii="Arial" w:hAnsi="Arial" w:cs="Arial"/>
        </w:rPr>
        <w:t xml:space="preserve">_____8. Talk </w:t>
      </w:r>
      <w:r w:rsidR="008179FA">
        <w:rPr>
          <w:rFonts w:ascii="Arial" w:hAnsi="Arial" w:cs="Arial"/>
        </w:rPr>
        <w:t xml:space="preserve">in a small group of strangers. </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_____9. Talk with a</w:t>
      </w:r>
      <w:r w:rsidR="008179FA">
        <w:rPr>
          <w:rFonts w:ascii="Arial" w:hAnsi="Arial" w:cs="Arial"/>
        </w:rPr>
        <w:t xml:space="preserve"> friend while standing in line.</w:t>
      </w:r>
    </w:p>
    <w:p w:rsidR="00C7207E" w:rsidRDefault="00E92B6D" w:rsidP="00C7207E">
      <w:pPr>
        <w:widowControl w:val="0"/>
        <w:autoSpaceDE w:val="0"/>
        <w:autoSpaceDN w:val="0"/>
        <w:adjustRightInd w:val="0"/>
        <w:rPr>
          <w:rFonts w:ascii="Arial" w:hAnsi="Arial" w:cs="Arial"/>
        </w:rPr>
      </w:pPr>
      <w:r>
        <w:rPr>
          <w:rFonts w:ascii="Arial" w:hAnsi="Arial" w:cs="Arial"/>
        </w:rPr>
        <w:t>_____</w:t>
      </w:r>
      <w:r w:rsidR="00403BB6">
        <w:rPr>
          <w:rFonts w:ascii="Arial" w:hAnsi="Arial" w:cs="Arial"/>
        </w:rPr>
        <w:t xml:space="preserve">10. </w:t>
      </w:r>
      <w:r w:rsidR="00C7207E" w:rsidRPr="00C7207E">
        <w:rPr>
          <w:rFonts w:ascii="Arial" w:hAnsi="Arial" w:cs="Arial"/>
        </w:rPr>
        <w:t>Talk with a w</w:t>
      </w:r>
      <w:r w:rsidR="008179FA">
        <w:rPr>
          <w:rFonts w:ascii="Arial" w:hAnsi="Arial" w:cs="Arial"/>
        </w:rPr>
        <w:t>aiter/waitress in a restaurant.</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_____11. Talk in a large meeting of acquaintances.</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_____12. Talk with a stranger while standing in line.</w:t>
      </w:r>
    </w:p>
    <w:p w:rsidR="00C7207E" w:rsidRDefault="008179FA" w:rsidP="00C7207E">
      <w:pPr>
        <w:widowControl w:val="0"/>
        <w:autoSpaceDE w:val="0"/>
        <w:autoSpaceDN w:val="0"/>
        <w:adjustRightInd w:val="0"/>
        <w:rPr>
          <w:rFonts w:ascii="Arial" w:hAnsi="Arial" w:cs="Arial"/>
        </w:rPr>
      </w:pPr>
      <w:r>
        <w:rPr>
          <w:rFonts w:ascii="Arial" w:hAnsi="Arial" w:cs="Arial"/>
        </w:rPr>
        <w:t>_____13. Talk with a secretary.</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w:t>
      </w:r>
      <w:r w:rsidR="00E92B6D">
        <w:rPr>
          <w:rFonts w:ascii="Arial" w:hAnsi="Arial" w:cs="Arial"/>
        </w:rPr>
        <w:t xml:space="preserve"> </w:t>
      </w:r>
      <w:r w:rsidRPr="00C7207E">
        <w:rPr>
          <w:rFonts w:ascii="Arial" w:hAnsi="Arial" w:cs="Arial"/>
        </w:rPr>
        <w:t>14. Present a talk to a group of friends.</w:t>
      </w:r>
    </w:p>
    <w:p w:rsidR="00C7207E" w:rsidRDefault="00C7207E" w:rsidP="00C7207E">
      <w:pPr>
        <w:widowControl w:val="0"/>
        <w:autoSpaceDE w:val="0"/>
        <w:autoSpaceDN w:val="0"/>
        <w:adjustRightInd w:val="0"/>
        <w:rPr>
          <w:rFonts w:ascii="Arial" w:hAnsi="Arial" w:cs="Arial"/>
        </w:rPr>
      </w:pPr>
      <w:r w:rsidRPr="00C7207E">
        <w:rPr>
          <w:rFonts w:ascii="Arial" w:hAnsi="Arial" w:cs="Arial"/>
        </w:rPr>
        <w:t xml:space="preserve">_____15. Talk in a </w:t>
      </w:r>
      <w:r w:rsidR="008179FA">
        <w:rPr>
          <w:rFonts w:ascii="Arial" w:hAnsi="Arial" w:cs="Arial"/>
        </w:rPr>
        <w:t>small group of acquaintances.</w:t>
      </w:r>
    </w:p>
    <w:p w:rsidR="00C7207E" w:rsidRDefault="00C7207E" w:rsidP="00C7207E">
      <w:pPr>
        <w:widowControl w:val="0"/>
        <w:autoSpaceDE w:val="0"/>
        <w:autoSpaceDN w:val="0"/>
        <w:adjustRightInd w:val="0"/>
        <w:rPr>
          <w:rFonts w:ascii="Arial" w:hAnsi="Arial" w:cs="Arial"/>
        </w:rPr>
      </w:pPr>
      <w:r w:rsidRPr="00C7207E">
        <w:rPr>
          <w:rFonts w:ascii="Arial" w:hAnsi="Arial" w:cs="Arial"/>
        </w:rPr>
        <w:t xml:space="preserve">_____16. </w:t>
      </w:r>
      <w:r w:rsidR="008179FA">
        <w:rPr>
          <w:rFonts w:ascii="Arial" w:hAnsi="Arial" w:cs="Arial"/>
        </w:rPr>
        <w:t>Talk with a garbage collector.</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_____17. Talk in a large meeting of strangers.</w:t>
      </w:r>
    </w:p>
    <w:p w:rsidR="00C7207E" w:rsidRDefault="00C7207E" w:rsidP="00C7207E">
      <w:pPr>
        <w:widowControl w:val="0"/>
        <w:autoSpaceDE w:val="0"/>
        <w:autoSpaceDN w:val="0"/>
        <w:adjustRightInd w:val="0"/>
        <w:rPr>
          <w:rFonts w:ascii="Arial" w:hAnsi="Arial" w:cs="Arial"/>
        </w:rPr>
      </w:pPr>
      <w:r w:rsidRPr="00C7207E">
        <w:rPr>
          <w:rFonts w:ascii="Arial" w:hAnsi="Arial" w:cs="Arial"/>
        </w:rPr>
        <w:t>_____18. Talk with</w:t>
      </w:r>
      <w:r w:rsidR="008179FA">
        <w:rPr>
          <w:rFonts w:ascii="Arial" w:hAnsi="Arial" w:cs="Arial"/>
        </w:rPr>
        <w:t xml:space="preserve"> a spouse (or girl/boyfriend). </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_____19. Talk in a small group of friends.</w:t>
      </w:r>
    </w:p>
    <w:p w:rsidR="00C7207E" w:rsidRPr="00C7207E" w:rsidRDefault="00C7207E" w:rsidP="00C7207E">
      <w:pPr>
        <w:widowControl w:val="0"/>
        <w:autoSpaceDE w:val="0"/>
        <w:autoSpaceDN w:val="0"/>
        <w:adjustRightInd w:val="0"/>
        <w:spacing w:after="320"/>
        <w:rPr>
          <w:rFonts w:ascii="Times" w:hAnsi="Times" w:cs="Times"/>
        </w:rPr>
      </w:pPr>
      <w:r w:rsidRPr="00C7207E">
        <w:rPr>
          <w:rFonts w:ascii="Arial" w:hAnsi="Arial" w:cs="Arial"/>
        </w:rPr>
        <w:t>_____20. Present a talk to a group of acquaintances.</w:t>
      </w:r>
    </w:p>
    <w:p w:rsidR="00C7207E" w:rsidRP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P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Arial" w:hAnsi="Arial" w:cs="Arial"/>
        </w:rPr>
      </w:pPr>
      <w:r w:rsidRPr="00C7207E">
        <w:rPr>
          <w:rFonts w:ascii="Arial" w:hAnsi="Arial" w:cs="Arial"/>
          <w:b/>
          <w:bCs/>
        </w:rPr>
        <w:lastRenderedPageBreak/>
        <w:t>Scoring:</w:t>
      </w:r>
    </w:p>
    <w:p w:rsidR="00C7207E" w:rsidRDefault="00C7207E" w:rsidP="00C7207E">
      <w:pPr>
        <w:widowControl w:val="0"/>
        <w:autoSpaceDE w:val="0"/>
        <w:autoSpaceDN w:val="0"/>
        <w:adjustRightInd w:val="0"/>
        <w:rPr>
          <w:rFonts w:ascii="Arial" w:hAnsi="Arial" w:cs="Arial"/>
        </w:rPr>
      </w:pP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Context-type sub-scores--</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Group Discussion: Add scores for items 8, 15, &amp; 19; then divide by 3.</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Meetings: Add scores for items 6, 11, 17; then divide by 3.</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Interpersonal: Add scores for items 4, 9, 12; then divide by 3.</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Public Speaking: Add scores for items 3, 14, 20; then divide by 3.</w:t>
      </w:r>
    </w:p>
    <w:p w:rsidR="00C7207E" w:rsidRPr="00C7207E" w:rsidRDefault="00C7207E" w:rsidP="00C7207E">
      <w:pPr>
        <w:widowControl w:val="0"/>
        <w:autoSpaceDE w:val="0"/>
        <w:autoSpaceDN w:val="0"/>
        <w:adjustRightInd w:val="0"/>
        <w:rPr>
          <w:rFonts w:ascii="Times" w:hAnsi="Times" w:cs="Times"/>
        </w:rPr>
      </w:pPr>
    </w:p>
    <w:p w:rsidR="00C7207E" w:rsidRPr="00C7207E" w:rsidRDefault="00C7207E" w:rsidP="00C7207E">
      <w:pPr>
        <w:widowControl w:val="0"/>
        <w:autoSpaceDE w:val="0"/>
        <w:autoSpaceDN w:val="0"/>
        <w:adjustRightInd w:val="0"/>
        <w:rPr>
          <w:rFonts w:ascii="Times" w:hAnsi="Times" w:cs="Times"/>
        </w:rPr>
      </w:pP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Receiver-type sub-scores--</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Stranger: Add scores for items 3, 8, 12, 17; then divide by 4.</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Acquaintance: Add scores for items 4, 11, 15, 20; then divide by 4.</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Friend: Add scores for items 6, 9, 14, 19; then divide by 4. </w:t>
      </w:r>
    </w:p>
    <w:p w:rsidR="00C7207E" w:rsidRPr="00C7207E" w:rsidRDefault="00C7207E" w:rsidP="00C7207E">
      <w:pPr>
        <w:widowControl w:val="0"/>
        <w:autoSpaceDE w:val="0"/>
        <w:autoSpaceDN w:val="0"/>
        <w:adjustRightInd w:val="0"/>
        <w:rPr>
          <w:rFonts w:ascii="Times" w:hAnsi="Times" w:cs="Times"/>
        </w:rPr>
      </w:pPr>
      <w:r w:rsidRPr="00C7207E">
        <w:rPr>
          <w:rFonts w:ascii="Arial" w:hAnsi="Arial" w:cs="Arial"/>
        </w:rPr>
        <w:t>To compute the total WTC score, add the sub scores for stranger, acquaintance, and friend. Then divide by 3.  All scores, total and sub-scores, will fall in the range of 0 to 100</w:t>
      </w:r>
    </w:p>
    <w:p w:rsidR="00C7207E" w:rsidRP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Times" w:hAnsi="Times" w:cs="Times"/>
        </w:rPr>
      </w:pPr>
    </w:p>
    <w:p w:rsidR="00C7207E" w:rsidRPr="00C7207E" w:rsidRDefault="00C7207E" w:rsidP="00C7207E">
      <w:pPr>
        <w:widowControl w:val="0"/>
        <w:autoSpaceDE w:val="0"/>
        <w:autoSpaceDN w:val="0"/>
        <w:adjustRightInd w:val="0"/>
        <w:rPr>
          <w:rFonts w:ascii="Times" w:hAnsi="Times" w:cs="Times"/>
        </w:rPr>
      </w:pPr>
    </w:p>
    <w:p w:rsidR="00C7207E" w:rsidRDefault="00C7207E" w:rsidP="00C7207E">
      <w:pPr>
        <w:widowControl w:val="0"/>
        <w:autoSpaceDE w:val="0"/>
        <w:autoSpaceDN w:val="0"/>
        <w:adjustRightInd w:val="0"/>
        <w:rPr>
          <w:rFonts w:ascii="Arial" w:hAnsi="Arial" w:cs="Arial"/>
        </w:rPr>
      </w:pPr>
      <w:r w:rsidRPr="00C7207E">
        <w:rPr>
          <w:rFonts w:ascii="Arial" w:hAnsi="Arial" w:cs="Arial"/>
          <w:b/>
          <w:bCs/>
        </w:rPr>
        <w:t>Norms for WTC Scores:</w:t>
      </w:r>
    </w:p>
    <w:p w:rsidR="00C7207E" w:rsidRPr="00C7207E" w:rsidRDefault="00C7207E" w:rsidP="00C7207E">
      <w:pPr>
        <w:widowControl w:val="0"/>
        <w:autoSpaceDE w:val="0"/>
        <w:autoSpaceDN w:val="0"/>
        <w:adjustRightInd w:val="0"/>
        <w:rPr>
          <w:rFonts w:ascii="Times" w:hAnsi="Times" w:cs="Times"/>
        </w:rPr>
      </w:pP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Group discussion</w:t>
      </w:r>
      <w:r w:rsidR="00403BB6" w:rsidRPr="00403BB6">
        <w:rPr>
          <w:rFonts w:ascii="Arial" w:hAnsi="Arial" w:cs="Arial"/>
          <w:u w:val="single"/>
        </w:rPr>
        <w:t>:</w:t>
      </w:r>
      <w:r w:rsidRPr="00403BB6">
        <w:rPr>
          <w:rFonts w:ascii="Arial" w:hAnsi="Arial" w:cs="Arial"/>
        </w:rPr>
        <w:t xml:space="preserve"> &gt;89 High WTC,&lt;57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Meetings</w:t>
      </w:r>
      <w:r w:rsidR="00403BB6">
        <w:rPr>
          <w:rFonts w:ascii="Arial" w:hAnsi="Arial" w:cs="Arial"/>
        </w:rPr>
        <w:t>:</w:t>
      </w:r>
      <w:r w:rsidRPr="00403BB6">
        <w:rPr>
          <w:rFonts w:ascii="Arial" w:hAnsi="Arial" w:cs="Arial"/>
        </w:rPr>
        <w:t xml:space="preserve"> &gt;80 High WTC,&lt;39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Interpersonal conversations</w:t>
      </w:r>
      <w:r w:rsidR="00403BB6" w:rsidRPr="00403BB6">
        <w:rPr>
          <w:rFonts w:ascii="Arial" w:hAnsi="Arial" w:cs="Arial"/>
          <w:u w:val="single"/>
        </w:rPr>
        <w:t>:</w:t>
      </w:r>
      <w:r w:rsidRPr="00403BB6">
        <w:rPr>
          <w:rFonts w:ascii="Arial" w:hAnsi="Arial" w:cs="Arial"/>
        </w:rPr>
        <w:t xml:space="preserve"> &gt;94 High WTC, &lt;64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Public Speaking</w:t>
      </w:r>
      <w:r w:rsidR="00403BB6" w:rsidRPr="00403BB6">
        <w:rPr>
          <w:rFonts w:ascii="Arial" w:hAnsi="Arial" w:cs="Arial"/>
          <w:u w:val="single"/>
        </w:rPr>
        <w:t>:</w:t>
      </w:r>
      <w:r w:rsidRPr="00403BB6">
        <w:rPr>
          <w:rFonts w:ascii="Arial" w:hAnsi="Arial" w:cs="Arial"/>
        </w:rPr>
        <w:t xml:space="preserve"> &gt;78 High WTC, &lt;33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Stranger</w:t>
      </w:r>
      <w:r w:rsidR="00403BB6" w:rsidRPr="00403BB6">
        <w:rPr>
          <w:rFonts w:ascii="Arial" w:hAnsi="Arial" w:cs="Arial"/>
          <w:u w:val="single"/>
        </w:rPr>
        <w:t>:</w:t>
      </w:r>
      <w:r w:rsidRPr="00403BB6">
        <w:rPr>
          <w:rFonts w:ascii="Arial" w:hAnsi="Arial" w:cs="Arial"/>
        </w:rPr>
        <w:t xml:space="preserve"> &gt;63 High WTC, &lt;18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Acquaintance</w:t>
      </w:r>
      <w:r w:rsidR="00403BB6">
        <w:rPr>
          <w:rFonts w:ascii="Arial" w:hAnsi="Arial" w:cs="Arial"/>
        </w:rPr>
        <w:t>:</w:t>
      </w:r>
      <w:r w:rsidRPr="00403BB6">
        <w:rPr>
          <w:rFonts w:ascii="Arial" w:hAnsi="Arial" w:cs="Arial"/>
        </w:rPr>
        <w:t xml:space="preserve"> &gt;92 High WTC, &lt;57 Low WTC</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Friend</w:t>
      </w:r>
      <w:r w:rsidR="00403BB6">
        <w:rPr>
          <w:rFonts w:ascii="Arial" w:hAnsi="Arial" w:cs="Arial"/>
        </w:rPr>
        <w:t>:</w:t>
      </w:r>
      <w:r w:rsidRPr="00403BB6">
        <w:rPr>
          <w:rFonts w:ascii="Arial" w:hAnsi="Arial" w:cs="Arial"/>
        </w:rPr>
        <w:t xml:space="preserve"> &gt;99 High WTC</w:t>
      </w:r>
      <w:r w:rsidR="00403BB6">
        <w:rPr>
          <w:rFonts w:ascii="Arial" w:hAnsi="Arial" w:cs="Arial"/>
        </w:rPr>
        <w:t>,</w:t>
      </w:r>
      <w:r w:rsidRPr="00403BB6">
        <w:rPr>
          <w:rFonts w:ascii="Arial" w:hAnsi="Arial" w:cs="Arial"/>
        </w:rPr>
        <w:t xml:space="preserve"> &lt;71 Low WTC</w:t>
      </w:r>
      <w:r w:rsidRPr="00403BB6">
        <w:rPr>
          <w:rFonts w:ascii="Arial" w:eastAsia="MS Mincho" w:hAnsi="Arial" w:cs="Arial" w:hint="eastAsia"/>
        </w:rPr>
        <w:t> </w:t>
      </w:r>
    </w:p>
    <w:p w:rsidR="00C7207E" w:rsidRPr="00403BB6" w:rsidRDefault="00C7207E" w:rsidP="00403BB6">
      <w:pPr>
        <w:pStyle w:val="ListParagraph"/>
        <w:widowControl w:val="0"/>
        <w:numPr>
          <w:ilvl w:val="0"/>
          <w:numId w:val="1"/>
        </w:numPr>
        <w:autoSpaceDE w:val="0"/>
        <w:autoSpaceDN w:val="0"/>
        <w:adjustRightInd w:val="0"/>
        <w:spacing w:line="360" w:lineRule="auto"/>
        <w:rPr>
          <w:rFonts w:ascii="Times" w:hAnsi="Times" w:cs="Times"/>
        </w:rPr>
      </w:pPr>
      <w:r w:rsidRPr="00403BB6">
        <w:rPr>
          <w:rFonts w:ascii="Arial" w:hAnsi="Arial" w:cs="Arial"/>
          <w:u w:val="single"/>
        </w:rPr>
        <w:t>Total WTC</w:t>
      </w:r>
      <w:r w:rsidR="00403BB6">
        <w:rPr>
          <w:rFonts w:ascii="Arial" w:hAnsi="Arial" w:cs="Arial"/>
        </w:rPr>
        <w:t>:</w:t>
      </w:r>
      <w:r w:rsidRPr="00403BB6">
        <w:rPr>
          <w:rFonts w:ascii="Arial" w:hAnsi="Arial" w:cs="Arial"/>
        </w:rPr>
        <w:t xml:space="preserve"> &gt;82 High Overall WTC, &lt;52 Low Overall WTC</w:t>
      </w:r>
      <w:r w:rsidRPr="00403BB6">
        <w:rPr>
          <w:rFonts w:ascii="Arial" w:eastAsia="MS Mincho" w:hAnsi="Arial" w:cs="Arial" w:hint="eastAsia"/>
        </w:rPr>
        <w:t> </w:t>
      </w:r>
    </w:p>
    <w:p w:rsidR="00C7207E" w:rsidRDefault="00C7207E" w:rsidP="00C7207E">
      <w:pPr>
        <w:rPr>
          <w:rFonts w:ascii="Arial" w:hAnsi="Arial" w:cs="Arial"/>
          <w:b/>
          <w:bCs/>
        </w:rPr>
      </w:pPr>
    </w:p>
    <w:p w:rsidR="00C7207E" w:rsidRDefault="00C7207E" w:rsidP="00C7207E">
      <w:pPr>
        <w:rPr>
          <w:rFonts w:ascii="Arial" w:hAnsi="Arial" w:cs="Arial"/>
          <w:b/>
          <w:bCs/>
        </w:rPr>
      </w:pPr>
      <w:bookmarkStart w:id="0" w:name="_GoBack"/>
      <w:bookmarkEnd w:id="0"/>
    </w:p>
    <w:p w:rsidR="00C7207E" w:rsidRDefault="00C7207E" w:rsidP="00C7207E">
      <w:pPr>
        <w:rPr>
          <w:rFonts w:ascii="Arial" w:hAnsi="Arial" w:cs="Arial"/>
          <w:b/>
          <w:bCs/>
        </w:rPr>
      </w:pPr>
    </w:p>
    <w:p w:rsidR="00C7207E" w:rsidRDefault="00C7207E" w:rsidP="00C7207E">
      <w:pPr>
        <w:rPr>
          <w:rFonts w:ascii="Arial" w:hAnsi="Arial" w:cs="Arial"/>
          <w:b/>
          <w:bCs/>
        </w:rPr>
      </w:pPr>
    </w:p>
    <w:p w:rsidR="00417EBF" w:rsidRPr="00C7207E" w:rsidRDefault="00C7207E" w:rsidP="00C7207E">
      <w:r w:rsidRPr="00C7207E">
        <w:rPr>
          <w:rFonts w:ascii="Arial" w:hAnsi="Arial" w:cs="Arial"/>
          <w:b/>
          <w:bCs/>
        </w:rPr>
        <w:t>Sources:</w:t>
      </w:r>
      <w:r w:rsidRPr="00C7207E">
        <w:rPr>
          <w:rFonts w:ascii="Arial" w:hAnsi="Arial" w:cs="Arial"/>
        </w:rPr>
        <w:t>  </w:t>
      </w:r>
      <w:proofErr w:type="spellStart"/>
      <w:r w:rsidRPr="00C7207E">
        <w:rPr>
          <w:rFonts w:ascii="Arial" w:hAnsi="Arial" w:cs="Arial"/>
        </w:rPr>
        <w:t>McCroskey</w:t>
      </w:r>
      <w:proofErr w:type="spellEnd"/>
      <w:r w:rsidRPr="00C7207E">
        <w:rPr>
          <w:rFonts w:ascii="Arial" w:hAnsi="Arial" w:cs="Arial"/>
        </w:rPr>
        <w:t xml:space="preserve">, J. C. (1992). </w:t>
      </w:r>
      <w:proofErr w:type="gramStart"/>
      <w:r w:rsidRPr="00C7207E">
        <w:rPr>
          <w:rFonts w:ascii="Arial" w:hAnsi="Arial" w:cs="Arial"/>
        </w:rPr>
        <w:t>Reliability and validity of the willingness to communicate scale.</w:t>
      </w:r>
      <w:proofErr w:type="gramEnd"/>
      <w:r w:rsidRPr="00C7207E">
        <w:rPr>
          <w:rFonts w:ascii="Arial" w:hAnsi="Arial" w:cs="Arial"/>
        </w:rPr>
        <w:t xml:space="preserve"> </w:t>
      </w:r>
      <w:proofErr w:type="gramStart"/>
      <w:r w:rsidRPr="00C7207E">
        <w:rPr>
          <w:rFonts w:ascii="Arial" w:hAnsi="Arial" w:cs="Arial"/>
          <w:i/>
          <w:iCs/>
        </w:rPr>
        <w:t>Communication Quarterly, 40,</w:t>
      </w:r>
      <w:r w:rsidRPr="00C7207E">
        <w:rPr>
          <w:rFonts w:ascii="Arial" w:hAnsi="Arial" w:cs="Arial"/>
        </w:rPr>
        <w:t xml:space="preserve"> 16-25.  </w:t>
      </w:r>
      <w:proofErr w:type="spellStart"/>
      <w:r w:rsidRPr="00C7207E">
        <w:rPr>
          <w:rFonts w:ascii="Arial" w:hAnsi="Arial" w:cs="Arial"/>
        </w:rPr>
        <w:t>McCroskey</w:t>
      </w:r>
      <w:proofErr w:type="spellEnd"/>
      <w:r w:rsidRPr="00C7207E">
        <w:rPr>
          <w:rFonts w:ascii="Arial" w:hAnsi="Arial" w:cs="Arial"/>
        </w:rPr>
        <w:t>, J. C., &amp; Richmond, V. P. (1987).</w:t>
      </w:r>
      <w:proofErr w:type="gramEnd"/>
      <w:r w:rsidRPr="00C7207E">
        <w:rPr>
          <w:rFonts w:ascii="Arial" w:hAnsi="Arial" w:cs="Arial"/>
        </w:rPr>
        <w:t xml:space="preserve"> </w:t>
      </w:r>
      <w:proofErr w:type="gramStart"/>
      <w:r w:rsidRPr="00C7207E">
        <w:rPr>
          <w:rFonts w:ascii="Arial" w:hAnsi="Arial" w:cs="Arial"/>
        </w:rPr>
        <w:t>Willingness to communicate.</w:t>
      </w:r>
      <w:proofErr w:type="gramEnd"/>
      <w:r w:rsidRPr="00C7207E">
        <w:rPr>
          <w:rFonts w:ascii="Arial" w:hAnsi="Arial" w:cs="Arial"/>
        </w:rPr>
        <w:t xml:space="preserve"> </w:t>
      </w:r>
      <w:proofErr w:type="gramStart"/>
      <w:r w:rsidRPr="00C7207E">
        <w:rPr>
          <w:rFonts w:ascii="Arial" w:hAnsi="Arial" w:cs="Arial"/>
        </w:rPr>
        <w:t xml:space="preserve">In J. C. </w:t>
      </w:r>
      <w:proofErr w:type="spellStart"/>
      <w:r w:rsidRPr="00C7207E">
        <w:rPr>
          <w:rFonts w:ascii="Arial" w:hAnsi="Arial" w:cs="Arial"/>
        </w:rPr>
        <w:t>McCroskey</w:t>
      </w:r>
      <w:proofErr w:type="spellEnd"/>
      <w:r w:rsidRPr="00C7207E">
        <w:rPr>
          <w:rFonts w:ascii="Arial" w:hAnsi="Arial" w:cs="Arial"/>
        </w:rPr>
        <w:t xml:space="preserve"> &amp; J. A. Daly (Eds.), </w:t>
      </w:r>
      <w:r w:rsidRPr="00C7207E">
        <w:rPr>
          <w:rFonts w:ascii="Arial" w:hAnsi="Arial" w:cs="Arial"/>
          <w:i/>
          <w:iCs/>
        </w:rPr>
        <w:t>Personality and interpersonal communication</w:t>
      </w:r>
      <w:r w:rsidRPr="00C7207E">
        <w:rPr>
          <w:rFonts w:ascii="Arial" w:hAnsi="Arial" w:cs="Arial"/>
        </w:rPr>
        <w:t xml:space="preserve"> (pp. 119-131).</w:t>
      </w:r>
      <w:proofErr w:type="gramEnd"/>
      <w:r w:rsidRPr="00C7207E">
        <w:rPr>
          <w:rFonts w:ascii="Arial" w:hAnsi="Arial" w:cs="Arial"/>
        </w:rPr>
        <w:t xml:space="preserve"> Newbury Park, CA: Sage.</w:t>
      </w:r>
    </w:p>
    <w:sectPr w:rsidR="00417EBF" w:rsidRPr="00C7207E" w:rsidSect="00C7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7184"/>
    <w:multiLevelType w:val="hybridMultilevel"/>
    <w:tmpl w:val="AAE45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E"/>
    <w:rsid w:val="00124A41"/>
    <w:rsid w:val="00403BB6"/>
    <w:rsid w:val="00417EBF"/>
    <w:rsid w:val="008179FA"/>
    <w:rsid w:val="00C7207E"/>
    <w:rsid w:val="00E92B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Grundy</dc:creator>
  <cp:lastModifiedBy>Owner</cp:lastModifiedBy>
  <cp:revision>2</cp:revision>
  <dcterms:created xsi:type="dcterms:W3CDTF">2013-04-29T18:35:00Z</dcterms:created>
  <dcterms:modified xsi:type="dcterms:W3CDTF">2013-04-29T18:35:00Z</dcterms:modified>
</cp:coreProperties>
</file>